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6" w:rsidRPr="001E3A33" w:rsidRDefault="00994AC6" w:rsidP="00994AC6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ermStart w:id="1199324382" w:edGrp="everyone"/>
      <w:permEnd w:id="1199324382"/>
      <w:r w:rsidRPr="001E3A33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994AC6" w:rsidRPr="001E3A33" w:rsidRDefault="00994AC6" w:rsidP="00994AC6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E3A33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про постачання </w:t>
      </w:r>
    </w:p>
    <w:p w:rsidR="00B12D7F" w:rsidRPr="001E3A33" w:rsidRDefault="00994AC6" w:rsidP="00994AC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3A33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</w:t>
      </w:r>
    </w:p>
    <w:p w:rsidR="00994AC6" w:rsidRDefault="00994AC6" w:rsidP="00B12D7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12D7F" w:rsidRDefault="00B12D7F" w:rsidP="00B12D7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КОМЕРЦІЙНА ПРОПОЗИЦІЯ</w:t>
      </w:r>
      <w:r w:rsidR="006D2DD7">
        <w:rPr>
          <w:rFonts w:ascii="Times New Roman" w:hAnsi="Times New Roman" w:cs="Times New Roman"/>
          <w:sz w:val="32"/>
          <w:szCs w:val="32"/>
          <w:lang w:val="uk-UA"/>
        </w:rPr>
        <w:t xml:space="preserve"> №1</w:t>
      </w:r>
      <w:r w:rsidR="00B25495">
        <w:rPr>
          <w:rFonts w:ascii="Times New Roman" w:hAnsi="Times New Roman" w:cs="Times New Roman"/>
          <w:sz w:val="32"/>
          <w:szCs w:val="32"/>
          <w:lang w:val="uk-UA"/>
        </w:rPr>
        <w:t>-У</w:t>
      </w:r>
    </w:p>
    <w:p w:rsidR="00B12D7F" w:rsidRPr="00B25495" w:rsidRDefault="00B25495" w:rsidP="00B12D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495">
        <w:rPr>
          <w:rFonts w:ascii="Times New Roman" w:hAnsi="Times New Roman" w:cs="Times New Roman"/>
          <w:sz w:val="28"/>
          <w:szCs w:val="28"/>
          <w:lang w:val="uk-UA"/>
        </w:rPr>
        <w:t>від 23.09.2019 року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78"/>
        <w:gridCol w:w="7115"/>
      </w:tblGrid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B12D7F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Умова</w:t>
            </w:r>
          </w:p>
        </w:tc>
        <w:tc>
          <w:tcPr>
            <w:tcW w:w="7115" w:type="dxa"/>
            <w:vAlign w:val="center"/>
          </w:tcPr>
          <w:p w:rsidR="00B12D7F" w:rsidRPr="007B55AF" w:rsidRDefault="00B12D7F" w:rsidP="006D2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Пропозиція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B12D7F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1. Ціна на електричну енергію</w:t>
            </w:r>
          </w:p>
        </w:tc>
        <w:tc>
          <w:tcPr>
            <w:tcW w:w="7115" w:type="dxa"/>
            <w:vAlign w:val="center"/>
          </w:tcPr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>РДД – ринок двосторонніх договорів;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>РНД – ринок на добу на перед;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>ВНД – внутрішньодобовий ринок;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>БР – балансуючий ринок;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>Д – доба постачання;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Pr="00994AC6">
              <w:rPr>
                <w:rFonts w:ascii="Times New Roman" w:hAnsi="Times New Roman" w:cs="Times New Roman"/>
                <w:vertAlign w:val="subscript"/>
                <w:lang w:val="uk-UA"/>
              </w:rPr>
              <w:t>прог</w:t>
            </w:r>
            <w:r w:rsidRPr="00994AC6">
              <w:rPr>
                <w:rFonts w:ascii="Times New Roman" w:hAnsi="Times New Roman" w:cs="Times New Roman"/>
                <w:lang w:val="uk-UA"/>
              </w:rPr>
              <w:t xml:space="preserve"> – прогнозні погодинні обсяги споживання споживача кожної години Д;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Pr="00994AC6">
              <w:rPr>
                <w:rFonts w:ascii="Times New Roman" w:hAnsi="Times New Roman" w:cs="Times New Roman"/>
                <w:vertAlign w:val="subscript"/>
                <w:lang w:val="uk-UA"/>
              </w:rPr>
              <w:t>факт</w:t>
            </w:r>
            <w:r w:rsidRPr="00994AC6">
              <w:rPr>
                <w:rFonts w:ascii="Times New Roman" w:hAnsi="Times New Roman" w:cs="Times New Roman"/>
                <w:vertAlign w:val="subscript"/>
                <w:lang w:val="uk-UA"/>
              </w:rPr>
              <w:softHyphen/>
            </w:r>
            <w:r w:rsidRPr="00994AC6">
              <w:rPr>
                <w:rFonts w:ascii="Times New Roman" w:hAnsi="Times New Roman" w:cs="Times New Roman"/>
                <w:lang w:val="uk-UA"/>
              </w:rPr>
              <w:t xml:space="preserve"> – фактичні погодинні обсяги споживання споживача кожної години Д;</w:t>
            </w:r>
          </w:p>
          <w:p w:rsidR="00B25495" w:rsidRPr="00994AC6" w:rsidRDefault="00B25495" w:rsidP="00994AC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Pr="00994AC6">
              <w:rPr>
                <w:rFonts w:ascii="Times New Roman" w:hAnsi="Times New Roman" w:cs="Times New Roman"/>
                <w:lang w:val="uk-UA"/>
              </w:rPr>
              <w:t>м – фактичний обсяг споживання споживача у розрахунковому місяці.</w:t>
            </w:r>
          </w:p>
          <w:p w:rsidR="0048422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>Оплата електричної енергії у розрахунковому періоді здійснюється за прогнозованою ціною (тарифом) за 1кВт*год Постачальника, яка визначається за формулою:</w:t>
            </w:r>
          </w:p>
          <w:p w:rsidR="0048422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4226">
              <w:rPr>
                <w:rFonts w:ascii="Times New Roman" w:hAnsi="Times New Roman" w:cs="Times New Roman"/>
                <w:lang w:val="uk-UA"/>
              </w:rPr>
              <w:t>Ц</w:t>
            </w:r>
            <w:r w:rsidRPr="00994AC6">
              <w:rPr>
                <w:rFonts w:ascii="Times New Roman" w:hAnsi="Times New Roman" w:cs="Times New Roman"/>
                <w:lang w:val="uk-UA"/>
              </w:rPr>
              <w:t xml:space="preserve"> = ОРЦ</w:t>
            </w:r>
            <w:r w:rsidR="00484226">
              <w:rPr>
                <w:rFonts w:ascii="Times New Roman" w:hAnsi="Times New Roman" w:cs="Times New Roman"/>
                <w:lang w:val="uk-UA"/>
              </w:rPr>
              <w:t>+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F+P+T+H+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пост</m:t>
                  </m:r>
                </m:sub>
              </m:sSub>
            </m:oMath>
            <w:r w:rsidRPr="00994AC6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>де ОРЦ – прогнозована оптова ринкова ціна, затверджена НКРЕКП на відповідний розрахунковий період з урахуванням ПДВ. Фактична ціна (тариф) купованої Споживачем електроенергії у розрахунковому періоді, яка зазначається в акті-купівлі продажу електроенергії розраховується (визначаються) Постачальником за формулою:</w:t>
            </w:r>
          </w:p>
          <w:p w:rsidR="00B25495" w:rsidRPr="00994AC6" w:rsidRDefault="00162616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факт</m:t>
                  </m:r>
                </m:sub>
              </m:sSub>
              <m:r>
                <w:rPr>
                  <w:rFonts w:ascii="Cambria Math" w:hAnsi="Cambria Math" w:cs="Times New Roman"/>
                  <w:lang w:val="uk-UA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РДД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РДН/ВДР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БР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-+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БР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Wм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r>
                <w:rPr>
                  <w:rFonts w:ascii="Cambria Math" w:hAnsi="Cambria Math" w:cs="Times New Roman"/>
                  <w:lang w:val="en-US"/>
                </w:rPr>
                <m:t>F+P+T+H+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пост</m:t>
                  </m:r>
                </m:sub>
              </m:sSub>
            </m:oMath>
            <w:r w:rsidR="00B25495" w:rsidRPr="00994AC6">
              <w:rPr>
                <w:rFonts w:ascii="Times New Roman" w:hAnsi="Times New Roman" w:cs="Times New Roman"/>
                <w:lang w:val="uk-UA"/>
              </w:rPr>
              <w:t>,  де:</w:t>
            </w:r>
          </w:p>
          <w:p w:rsidR="00B25495" w:rsidRPr="00994AC6" w:rsidRDefault="00162616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РДД</m:t>
                  </m:r>
                </m:sub>
              </m:sSub>
            </m:oMath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– фактична вартість купівлі Постачальником обсягів електроенергії Споживача на РДД для кожної години Д місяця,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ПДВ;</w:t>
            </w:r>
          </w:p>
          <w:p w:rsidR="00B25495" w:rsidRPr="00994AC6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РНД/ВНД</m:t>
                  </m:r>
                </m:sub>
              </m:sSub>
            </m:oMath>
            <w:r w:rsidRPr="00994AC6">
              <w:rPr>
                <w:rFonts w:ascii="Times New Roman" w:hAnsi="Times New Roman" w:cs="Times New Roman"/>
                <w:lang w:val="uk-UA"/>
              </w:rPr>
              <w:t xml:space="preserve"> – фактична вартість купівлі Постачальником обсягів електроенергії Споживача на аукціоні РД</w:t>
            </w:r>
            <w:r w:rsidR="00484226">
              <w:rPr>
                <w:rFonts w:ascii="Times New Roman" w:hAnsi="Times New Roman" w:cs="Times New Roman"/>
                <w:lang w:val="uk-UA"/>
              </w:rPr>
              <w:t>Н</w:t>
            </w:r>
            <w:r w:rsidRPr="00994AC6">
              <w:rPr>
                <w:rFonts w:ascii="Times New Roman" w:hAnsi="Times New Roman" w:cs="Times New Roman"/>
                <w:lang w:val="uk-UA"/>
              </w:rPr>
              <w:t>/ВД</w:t>
            </w:r>
            <w:r w:rsidR="00484226">
              <w:rPr>
                <w:rFonts w:ascii="Times New Roman" w:hAnsi="Times New Roman" w:cs="Times New Roman"/>
                <w:lang w:val="uk-UA"/>
              </w:rPr>
              <w:t>Р</w:t>
            </w:r>
            <w:r w:rsidRPr="00994AC6">
              <w:rPr>
                <w:rFonts w:ascii="Times New Roman" w:hAnsi="Times New Roman" w:cs="Times New Roman"/>
                <w:lang w:val="uk-UA"/>
              </w:rPr>
              <w:t xml:space="preserve"> для кожної години Д місяця, яка визначається як сума добутків прогнозних погодинних обсягів споживання електроенергії Споживача та ціни години на аукціоні РД</w:t>
            </w:r>
            <w:r w:rsidR="00484226">
              <w:rPr>
                <w:rFonts w:ascii="Times New Roman" w:hAnsi="Times New Roman" w:cs="Times New Roman"/>
                <w:lang w:val="uk-UA"/>
              </w:rPr>
              <w:t>Н</w:t>
            </w:r>
            <w:r w:rsidRPr="00994AC6">
              <w:rPr>
                <w:rFonts w:ascii="Times New Roman" w:hAnsi="Times New Roman" w:cs="Times New Roman"/>
                <w:lang w:val="uk-UA"/>
              </w:rPr>
              <w:t>/ВД</w:t>
            </w:r>
            <w:r w:rsidR="00484226">
              <w:rPr>
                <w:rFonts w:ascii="Times New Roman" w:hAnsi="Times New Roman" w:cs="Times New Roman"/>
                <w:lang w:val="uk-UA"/>
              </w:rPr>
              <w:t>Р</w:t>
            </w:r>
            <w:r w:rsidRPr="00994AC6">
              <w:rPr>
                <w:rFonts w:ascii="Times New Roman" w:hAnsi="Times New Roman" w:cs="Times New Roman"/>
                <w:lang w:val="uk-UA"/>
              </w:rPr>
              <w:t xml:space="preserve"> для кожної години Д місяця без урахування ПДВ;</w:t>
            </w:r>
          </w:p>
          <w:p w:rsidR="00B25495" w:rsidRPr="00994AC6" w:rsidRDefault="00162616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БР</m:t>
                  </m:r>
                </m:sub>
              </m:sSub>
            </m:oMath>
            <w:r w:rsidR="00B25495" w:rsidRPr="00994AC6">
              <w:rPr>
                <w:rFonts w:ascii="Times New Roman" w:eastAsiaTheme="minorEastAsia" w:hAnsi="Times New Roman" w:cs="Times New Roman"/>
                <w:lang w:val="uk-UA"/>
              </w:rPr>
              <w:t>-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– вартість небалансів споживача у випадку від’ємної різниці між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>факт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>прог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у кожній годині Д місяця, яка розраховується за формулою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БР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uk-UA"/>
                </w:rPr>
                <m:t>-=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факт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прог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нб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uk-UA"/>
                </w:rPr>
                <m:t>-</m:t>
              </m:r>
            </m:oMath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, де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нб</m:t>
                  </m:r>
                </m:sub>
              </m:sSub>
            </m:oMath>
            <w:r w:rsidR="00B25495" w:rsidRPr="00994AC6">
              <w:rPr>
                <w:rFonts w:ascii="Times New Roman" w:eastAsiaTheme="minorEastAsia" w:hAnsi="Times New Roman" w:cs="Times New Roman"/>
                <w:lang w:val="uk-UA"/>
              </w:rPr>
              <w:t>-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– вартість 1 кВт*год на БР, за якою постачальник продав позитивну різниці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>прог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>факт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споживача без урахування ПДВ.</w:t>
            </w:r>
          </w:p>
          <w:p w:rsidR="00B25495" w:rsidRDefault="00162616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БР</m:t>
                  </m:r>
                </m:sub>
              </m:sSub>
            </m:oMath>
            <w:r w:rsidR="00B25495" w:rsidRPr="00994AC6">
              <w:rPr>
                <w:rFonts w:ascii="Times New Roman" w:eastAsiaTheme="minorEastAsia" w:hAnsi="Times New Roman" w:cs="Times New Roman"/>
                <w:lang w:val="uk-UA"/>
              </w:rPr>
              <w:t xml:space="preserve">+ 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>–</w:t>
            </w:r>
            <w:r w:rsidR="00B25495" w:rsidRPr="00994AC6">
              <w:rPr>
                <w:rFonts w:ascii="Times New Roman" w:eastAsiaTheme="minorEastAsia" w:hAnsi="Times New Roman" w:cs="Times New Roman"/>
                <w:lang w:val="uk-UA"/>
              </w:rPr>
              <w:t xml:space="preserve"> вартість небалансів споживача у випадку позитивної різниці між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 xml:space="preserve">факт 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>прог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у кожній годині дня Д, яка розраховується за формулою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БР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uk-UA"/>
                </w:rPr>
                <m:t>+=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факт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прог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нб</m:t>
                  </m:r>
                </m:sub>
              </m:sSub>
            </m:oMath>
            <w:r w:rsidR="00B25495" w:rsidRPr="00994AC6">
              <w:rPr>
                <w:rFonts w:ascii="Times New Roman" w:eastAsiaTheme="minorEastAsia" w:hAnsi="Times New Roman" w:cs="Times New Roman"/>
                <w:lang w:val="uk-UA"/>
              </w:rPr>
              <w:t>+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, де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uk-UA"/>
                    </w:rPr>
                    <m:t>нб</m:t>
                  </m:r>
                </m:sub>
              </m:sSub>
            </m:oMath>
            <w:r w:rsidR="00B25495" w:rsidRPr="00994AC6">
              <w:rPr>
                <w:rFonts w:ascii="Times New Roman" w:eastAsiaTheme="minorEastAsia" w:hAnsi="Times New Roman" w:cs="Times New Roman"/>
                <w:lang w:val="uk-UA"/>
              </w:rPr>
              <w:t>+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вартість 1 кВт*год на БР, за якою постачальник придбав різницю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>факт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B25495" w:rsidRPr="00994AC6">
              <w:rPr>
                <w:rFonts w:ascii="Times New Roman" w:hAnsi="Times New Roman" w:cs="Times New Roman"/>
                <w:lang w:val="en-US"/>
              </w:rPr>
              <w:t>W</w:t>
            </w:r>
            <w:r w:rsidR="00B25495" w:rsidRPr="00994AC6">
              <w:rPr>
                <w:rFonts w:ascii="Times New Roman" w:hAnsi="Times New Roman" w:cs="Times New Roman"/>
                <w:vertAlign w:val="subscript"/>
                <w:lang w:val="uk-UA"/>
              </w:rPr>
              <w:t>прог</w:t>
            </w:r>
            <w:r w:rsidR="00B25495" w:rsidRPr="00994AC6">
              <w:rPr>
                <w:rFonts w:ascii="Times New Roman" w:hAnsi="Times New Roman" w:cs="Times New Roman"/>
                <w:lang w:val="uk-UA"/>
              </w:rPr>
              <w:t xml:space="preserve"> споживача без урахування ПДВ.</w:t>
            </w:r>
          </w:p>
          <w:p w:rsidR="00B25495" w:rsidRDefault="00B25495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4AC6">
              <w:rPr>
                <w:rFonts w:ascii="Times New Roman" w:hAnsi="Times New Roman" w:cs="Times New Roman"/>
                <w:lang w:val="en-US"/>
              </w:rPr>
              <w:t>F</w:t>
            </w:r>
            <w:r w:rsidRPr="00994AC6">
              <w:rPr>
                <w:rFonts w:ascii="Times New Roman" w:hAnsi="Times New Roman" w:cs="Times New Roman"/>
              </w:rPr>
              <w:t xml:space="preserve"> – </w:t>
            </w:r>
            <w:r w:rsidRPr="00994AC6">
              <w:rPr>
                <w:rFonts w:ascii="Times New Roman" w:hAnsi="Times New Roman" w:cs="Times New Roman"/>
                <w:lang w:val="uk-UA"/>
              </w:rPr>
              <w:t>витрати Постачальника (плата за послуги Оператора ринку у відповідності до розділу 4 Правил РД</w:t>
            </w:r>
            <w:r w:rsidR="00484226">
              <w:rPr>
                <w:rFonts w:ascii="Times New Roman" w:hAnsi="Times New Roman" w:cs="Times New Roman"/>
                <w:lang w:val="uk-UA"/>
              </w:rPr>
              <w:t>Н</w:t>
            </w:r>
            <w:r w:rsidRPr="00994AC6">
              <w:rPr>
                <w:rFonts w:ascii="Times New Roman" w:hAnsi="Times New Roman" w:cs="Times New Roman"/>
                <w:lang w:val="uk-UA"/>
              </w:rPr>
              <w:t xml:space="preserve"> та В</w:t>
            </w:r>
            <w:r w:rsidR="00484226">
              <w:rPr>
                <w:rFonts w:ascii="Times New Roman" w:hAnsi="Times New Roman" w:cs="Times New Roman"/>
                <w:lang w:val="uk-UA"/>
              </w:rPr>
              <w:t>ДР</w:t>
            </w:r>
            <w:r w:rsidRPr="00994AC6">
              <w:rPr>
                <w:rFonts w:ascii="Times New Roman" w:hAnsi="Times New Roman" w:cs="Times New Roman"/>
                <w:lang w:val="uk-UA"/>
              </w:rPr>
              <w:t xml:space="preserve">, Адміністратора </w:t>
            </w:r>
            <w:r w:rsidRPr="00994AC6">
              <w:rPr>
                <w:rFonts w:ascii="Times New Roman" w:hAnsi="Times New Roman" w:cs="Times New Roman"/>
                <w:lang w:val="uk-UA"/>
              </w:rPr>
              <w:lastRenderedPageBreak/>
              <w:t>розрахунків, внески на регулювання НКРЕКП, акцизний збір, диспетчеризація НЕК Укренерго, витрати на фінансову гарантію РДД, інші обов’язкові витрати Постачальника згідно з нормативними документами.</w:t>
            </w:r>
          </w:p>
          <w:p w:rsidR="00484226" w:rsidRDefault="00484226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4226">
              <w:rPr>
                <w:rFonts w:ascii="Times New Roman" w:hAnsi="Times New Roman" w:cs="Times New Roman"/>
                <w:lang w:val="uk-UA"/>
              </w:rPr>
              <w:t>Р – ціна (тариф) послуг оператора системи розподілу (ціна регульованих послуг), грн/кВт*год;</w:t>
            </w:r>
          </w:p>
          <w:p w:rsidR="00484226" w:rsidRDefault="00484226" w:rsidP="00994AC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4226">
              <w:rPr>
                <w:rFonts w:ascii="Times New Roman" w:hAnsi="Times New Roman" w:cs="Times New Roman"/>
                <w:lang w:val="uk-UA"/>
              </w:rPr>
              <w:t>Т – ціна (тариф) послуг оператора системи передачі (ціна регульованих послуг), грн/кВт*год;</w:t>
            </w:r>
          </w:p>
          <w:p w:rsidR="00484226" w:rsidRPr="00994AC6" w:rsidRDefault="00484226" w:rsidP="0048422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 - </w:t>
            </w:r>
            <w:r>
              <w:rPr>
                <w:rFonts w:ascii="Times New Roman" w:hAnsi="Times New Roman" w:cs="Times New Roman"/>
              </w:rPr>
              <w:t>ц</w:t>
            </w:r>
            <w:proofErr w:type="spellStart"/>
            <w:r w:rsidRPr="00484226">
              <w:rPr>
                <w:rFonts w:ascii="Times New Roman" w:hAnsi="Times New Roman" w:cs="Times New Roman"/>
                <w:lang w:val="uk-UA"/>
              </w:rPr>
              <w:t>іна</w:t>
            </w:r>
            <w:proofErr w:type="spellEnd"/>
            <w:r w:rsidRPr="00484226">
              <w:rPr>
                <w:rFonts w:ascii="Times New Roman" w:hAnsi="Times New Roman" w:cs="Times New Roman"/>
                <w:lang w:val="uk-UA"/>
              </w:rPr>
              <w:t xml:space="preserve"> додаткових послуг, пов’язаних з </w:t>
            </w:r>
            <w:r>
              <w:rPr>
                <w:rFonts w:ascii="Times New Roman" w:hAnsi="Times New Roman" w:cs="Times New Roman"/>
                <w:lang w:val="uk-UA"/>
              </w:rPr>
              <w:t xml:space="preserve">урегулюванням небалансів </w:t>
            </w:r>
            <w:r w:rsidRPr="00484226">
              <w:rPr>
                <w:rFonts w:ascii="Times New Roman" w:hAnsi="Times New Roman" w:cs="Times New Roman"/>
                <w:lang w:val="uk-UA"/>
              </w:rPr>
              <w:t>електричної енергії споживач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484226">
              <w:rPr>
                <w:rFonts w:ascii="Times New Roman" w:hAnsi="Times New Roman" w:cs="Times New Roman"/>
                <w:lang w:val="uk-UA"/>
              </w:rPr>
              <w:t xml:space="preserve"> і складає0,10 грн/кВт*год.</w:t>
            </w:r>
          </w:p>
          <w:p w:rsidR="00B25495" w:rsidRPr="00994AC6" w:rsidRDefault="00B25495" w:rsidP="00484226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4AC6">
              <w:rPr>
                <w:rFonts w:ascii="Times New Roman" w:hAnsi="Times New Roman" w:cs="Times New Roman"/>
                <w:lang w:val="uk-UA"/>
              </w:rPr>
              <w:t>П</w:t>
            </w:r>
            <w:r w:rsidRPr="00994AC6">
              <w:rPr>
                <w:rFonts w:ascii="Times New Roman" w:hAnsi="Times New Roman" w:cs="Times New Roman"/>
                <w:vertAlign w:val="subscript"/>
                <w:lang w:val="uk-UA"/>
              </w:rPr>
              <w:t>пост</w:t>
            </w:r>
            <w:proofErr w:type="spellEnd"/>
            <w:r w:rsidRPr="00994AC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484226" w:rsidRPr="00484226">
              <w:rPr>
                <w:rFonts w:ascii="Times New Roman" w:hAnsi="Times New Roman" w:cs="Times New Roman"/>
                <w:lang w:val="uk-UA"/>
              </w:rPr>
              <w:t>ціна додаткових послуг, пов’язаних з постачанням електричної енергії споживачу і складає</w:t>
            </w:r>
            <w:r w:rsidR="004842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4226" w:rsidRPr="00484226">
              <w:rPr>
                <w:rFonts w:ascii="Times New Roman" w:hAnsi="Times New Roman" w:cs="Times New Roman"/>
                <w:lang w:val="uk-UA"/>
              </w:rPr>
              <w:t>0,10 грн/кВт*год.</w:t>
            </w:r>
          </w:p>
          <w:p w:rsidR="00CC105A" w:rsidRPr="00994AC6" w:rsidRDefault="00CC105A" w:rsidP="00994AC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B25495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351AC0" w:rsidRPr="007B55AF">
              <w:rPr>
                <w:rFonts w:ascii="Times New Roman" w:hAnsi="Times New Roman" w:cs="Times New Roman"/>
                <w:lang w:val="uk-UA"/>
              </w:rPr>
              <w:t>. Територія, на якій дійсна дана комерційна пропозиція</w:t>
            </w:r>
          </w:p>
        </w:tc>
        <w:tc>
          <w:tcPr>
            <w:tcW w:w="7115" w:type="dxa"/>
            <w:vAlign w:val="center"/>
          </w:tcPr>
          <w:p w:rsidR="00351AC0" w:rsidRPr="007B55AF" w:rsidRDefault="00351AC0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Територія України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B25495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351AC0" w:rsidRPr="007B55AF">
              <w:rPr>
                <w:rFonts w:ascii="Times New Roman" w:hAnsi="Times New Roman" w:cs="Times New Roman"/>
                <w:lang w:val="uk-UA"/>
              </w:rPr>
              <w:t>. Спосіб оплати</w:t>
            </w:r>
          </w:p>
        </w:tc>
        <w:tc>
          <w:tcPr>
            <w:tcW w:w="7115" w:type="dxa"/>
            <w:vAlign w:val="center"/>
          </w:tcPr>
          <w:p w:rsidR="00B12D7F" w:rsidRPr="007B55AF" w:rsidRDefault="00351AC0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Оплату Заявленого до споживання в розрахунковому періоді обсягу електроенергії Споживач здійснює плановими платежами та кінцевим розрахунком по факту споживання.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B25495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351AC0" w:rsidRPr="007B55AF">
              <w:rPr>
                <w:rFonts w:ascii="Times New Roman" w:hAnsi="Times New Roman" w:cs="Times New Roman"/>
                <w:lang w:val="uk-UA"/>
              </w:rPr>
              <w:t>. 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7115" w:type="dxa"/>
            <w:vAlign w:val="center"/>
          </w:tcPr>
          <w:p w:rsidR="00B12D7F" w:rsidRPr="007B55AF" w:rsidRDefault="00351AC0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Планові рахунки на оплату за електричну енергію надаються споживачу до початку розрахункового періоду.</w:t>
            </w:r>
          </w:p>
          <w:p w:rsidR="00351AC0" w:rsidRPr="007B55AF" w:rsidRDefault="00351AC0" w:rsidP="00351AC0">
            <w:pPr>
              <w:rPr>
                <w:rFonts w:ascii="Times New Roman" w:hAnsi="Times New Roman" w:cs="Times New Roman"/>
                <w:lang w:val="uk-UA"/>
              </w:rPr>
            </w:pPr>
          </w:p>
          <w:p w:rsidR="00351AC0" w:rsidRDefault="00351AC0" w:rsidP="00351A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B55AF">
              <w:rPr>
                <w:rFonts w:ascii="Times New Roman" w:hAnsi="Times New Roman" w:cs="Times New Roman"/>
                <w:b/>
                <w:lang w:val="uk-UA"/>
              </w:rPr>
              <w:t>Терміни (строки) оплати:</w:t>
            </w:r>
          </w:p>
          <w:p w:rsidR="00351AC0" w:rsidRPr="007B55AF" w:rsidRDefault="00274132" w:rsidP="002741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Оплата електричної енергії здійснюється Споживачем у формі 100% попередньої оплати заявлених Споживачем обсягів споживання на розрахунковий період з остаточним розрахунком, що проводиться за фактично відпущену електричну енергію згідно з даними комерційного обліку. Попередня оплата здійснюється до 24 числа місяця, що передує розрахунковому у розмірі, який визначається за наступною формулою: </w:t>
            </w:r>
          </w:p>
          <w:p w:rsidR="00351AC0" w:rsidRPr="007B55AF" w:rsidRDefault="00162616" w:rsidP="00274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С</m:t>
                  </m:r>
                </m:e>
                <m:sub/>
                <m:sup/>
              </m:sSubSup>
              <m:r>
                <w:rPr>
                  <w:rFonts w:ascii="Cambria Math" w:hAnsi="Cambria Math" w:cs="Times New Roman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lang w:val="uk-UA"/>
                    </w:rPr>
                    <m:t>С</m:t>
                  </m:r>
                </m:sup>
              </m:sSubSup>
              <m:r>
                <w:rPr>
                  <w:rFonts w:ascii="Cambria Math" w:hAnsi="Cambria Math" w:cs="Times New Roman"/>
                  <w:lang w:val="uk-UA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Ц</m:t>
                  </m:r>
                </m:e>
                <m:sub/>
                <m:sup/>
              </m:sSubSup>
            </m:oMath>
            <w:r w:rsidR="00351AC0" w:rsidRPr="007B55A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51AC0" w:rsidRPr="007B55AF" w:rsidRDefault="00351AC0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з</m:t>
                  </m:r>
                </m:sub>
                <m:sup>
                  <m:r>
                    <w:rPr>
                      <w:rFonts w:ascii="Cambria Math" w:hAnsi="Cambria Math" w:cs="Times New Roman"/>
                      <w:lang w:val="uk-UA"/>
                    </w:rPr>
                    <m:t>С</m:t>
                  </m:r>
                </m:sup>
              </m:sSubSup>
            </m:oMath>
            <w:r w:rsidRPr="007B55AF">
              <w:rPr>
                <w:rFonts w:ascii="Times New Roman" w:hAnsi="Times New Roman" w:cs="Times New Roman"/>
                <w:lang w:val="uk-UA"/>
              </w:rPr>
              <w:t xml:space="preserve"> - заявлений обсяг споживання електричної енергії у відповідному розрахунковому періоді, що приведений в п. </w:t>
            </w:r>
            <w:r w:rsidRPr="00994AC6">
              <w:rPr>
                <w:rFonts w:ascii="Times New Roman" w:hAnsi="Times New Roman" w:cs="Times New Roman"/>
                <w:lang w:val="uk-UA"/>
              </w:rPr>
              <w:t>1</w:t>
            </w:r>
            <w:r w:rsidR="00994AC6">
              <w:rPr>
                <w:rFonts w:ascii="Times New Roman" w:hAnsi="Times New Roman" w:cs="Times New Roman"/>
                <w:lang w:val="uk-UA"/>
              </w:rPr>
              <w:t>2</w:t>
            </w:r>
            <w:r w:rsidRPr="007B55AF">
              <w:rPr>
                <w:rFonts w:ascii="Times New Roman" w:hAnsi="Times New Roman" w:cs="Times New Roman"/>
                <w:lang w:val="uk-UA"/>
              </w:rPr>
              <w:t xml:space="preserve"> Комерційної пропозиції, кВт*год.;</w:t>
            </w:r>
          </w:p>
          <w:p w:rsidR="00E16C57" w:rsidRDefault="00162616" w:rsidP="00351AC0">
            <w:pPr>
              <w:rPr>
                <w:rFonts w:ascii="Times New Roman" w:hAnsi="Times New Roman" w:cs="Times New Roman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Ц</m:t>
                  </m:r>
                </m:e>
                <m:sub/>
                <m:sup/>
              </m:sSubSup>
            </m:oMath>
            <w:r w:rsidR="001E632E" w:rsidRPr="007B55AF">
              <w:rPr>
                <w:rFonts w:ascii="Times New Roman" w:hAnsi="Times New Roman" w:cs="Times New Roman"/>
                <w:lang w:val="uk-UA"/>
              </w:rPr>
              <w:t xml:space="preserve"> – прогнозована </w:t>
            </w:r>
            <w:r w:rsidR="00274132">
              <w:rPr>
                <w:rFonts w:ascii="Times New Roman" w:hAnsi="Times New Roman" w:cs="Times New Roman"/>
                <w:lang w:val="uk-UA"/>
              </w:rPr>
              <w:t>ціна (тариф), механізм визначення якої вказаний у розділі «</w:t>
            </w:r>
            <w:r w:rsidR="00274132" w:rsidRPr="007B55AF">
              <w:rPr>
                <w:rFonts w:ascii="Times New Roman" w:hAnsi="Times New Roman" w:cs="Times New Roman"/>
                <w:lang w:val="uk-UA"/>
              </w:rPr>
              <w:t>Ціна на електричну енергію</w:t>
            </w:r>
            <w:r w:rsidR="00274132">
              <w:rPr>
                <w:rFonts w:ascii="Times New Roman" w:hAnsi="Times New Roman" w:cs="Times New Roman"/>
                <w:lang w:val="uk-UA"/>
              </w:rPr>
              <w:t>» цієї комерційної пропозиції</w:t>
            </w:r>
            <w:r w:rsidR="00E16C5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96DFC" w:rsidRPr="007B55AF" w:rsidRDefault="00E16C57" w:rsidP="00E16C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Сума переплати/недоплати Споживача, яка виникла в наслідок різниці між Ц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uk-UA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lang w:val="uk-UA"/>
                    </w:rPr>
                    <m:t>факт</m:t>
                  </m:r>
                </m:sub>
              </m:sSub>
            </m:oMath>
            <w:r w:rsidR="002741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, визначається після завершення розрахункового періоду. Сума переплати Споживача зараховується в якості оплати наступного розрахункового періоду. Сума недоплати Споживача підлягає безумовній оплаті Споживачем не пізніше 5 робочих днів з дня отримання рахунку. 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994AC6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85850" w:rsidRPr="007B55AF">
              <w:rPr>
                <w:rFonts w:ascii="Times New Roman" w:hAnsi="Times New Roman" w:cs="Times New Roman"/>
                <w:lang w:val="uk-UA"/>
              </w:rPr>
              <w:t>. Визначення варіанту оплати послуг з розподілу (необхідно обрати лише один варіант)</w:t>
            </w:r>
          </w:p>
        </w:tc>
        <w:tc>
          <w:tcPr>
            <w:tcW w:w="7115" w:type="dxa"/>
            <w:vAlign w:val="center"/>
          </w:tcPr>
          <w:p w:rsidR="00B12D7F" w:rsidRPr="007B55AF" w:rsidRDefault="005B50F1" w:rsidP="005B50F1">
            <w:pPr>
              <w:pStyle w:val="a4"/>
              <w:ind w:left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158750" cy="127000"/>
                      <wp:effectExtent l="0" t="0" r="1270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7A2D" id="Прямоугольник 1" o:spid="_x0000_s1026" style="position:absolute;margin-left:-.5pt;margin-top:1.8pt;width:12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" fillcolor="white [3212]" strokecolor="black [1600]" strokeweight="1pt"/>
                  </w:pict>
                </mc:Fallback>
              </mc:AlternateContent>
            </w:r>
            <w:r w:rsidR="00485850" w:rsidRPr="007B55AF">
              <w:rPr>
                <w:rFonts w:ascii="Times New Roman" w:hAnsi="Times New Roman" w:cs="Times New Roman"/>
                <w:b/>
                <w:lang w:val="uk-UA"/>
              </w:rPr>
              <w:t xml:space="preserve">Варіант 1. </w:t>
            </w:r>
            <w:r w:rsidR="00485850" w:rsidRPr="007B55AF">
              <w:rPr>
                <w:rFonts w:ascii="Times New Roman" w:hAnsi="Times New Roman" w:cs="Times New Roman"/>
                <w:lang w:val="uk-UA"/>
              </w:rPr>
              <w:t>Через Постачальника з наступним переведенням цієї оплати Постачальником оператору системи.</w:t>
            </w:r>
          </w:p>
          <w:p w:rsidR="00485850" w:rsidRPr="007B55AF" w:rsidRDefault="00485850" w:rsidP="0048585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Оплата послуг з розподілу здійснюється Споживачем на підставі окремого рахунку, що виставляється Постачальником та проводиться у строки, визначені Договором постачальника про надання послуг з розподілу (передачі) електричної енергії.</w:t>
            </w:r>
          </w:p>
          <w:p w:rsidR="00485850" w:rsidRPr="007B55AF" w:rsidRDefault="005B50F1" w:rsidP="005B50F1">
            <w:pPr>
              <w:pStyle w:val="a4"/>
              <w:ind w:left="31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EA370" wp14:editId="6AA0D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58750" cy="127000"/>
                      <wp:effectExtent l="0" t="0" r="1270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6478" id="Прямоугольник 2" o:spid="_x0000_s1026" style="position:absolute;margin-left:0;margin-top:1.2pt;width:12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" fillcolor="white [3212]" strokecolor="black [1600]" strokeweight="1pt"/>
                  </w:pict>
                </mc:Fallback>
              </mc:AlternateContent>
            </w:r>
            <w:r w:rsidR="00F10560" w:rsidRPr="007B55AF">
              <w:rPr>
                <w:rFonts w:ascii="Times New Roman" w:hAnsi="Times New Roman" w:cs="Times New Roman"/>
                <w:b/>
                <w:lang w:val="uk-UA"/>
              </w:rPr>
              <w:t>Варіант №2.</w:t>
            </w:r>
            <w:r w:rsidR="00F10560" w:rsidRPr="007B55AF">
              <w:rPr>
                <w:rFonts w:ascii="Times New Roman" w:hAnsi="Times New Roman" w:cs="Times New Roman"/>
                <w:lang w:val="uk-UA"/>
              </w:rPr>
              <w:t xml:space="preserve"> Напряму Оператору системи розподілу.</w:t>
            </w:r>
          </w:p>
          <w:p w:rsidR="00F10560" w:rsidRPr="007B55AF" w:rsidRDefault="00F10560" w:rsidP="00F1056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Оплата послуг з розподілу здійснюється Споживачем самостійно на підставі рахунку, що виставляється Оператором системи розподілу, згідно з Договором споживача про надання послуг з розподілу (передачі) електричної енергії.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994AC6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  <w:r w:rsidR="00796DFC" w:rsidRPr="007B55AF">
              <w:rPr>
                <w:rFonts w:ascii="Times New Roman" w:hAnsi="Times New Roman" w:cs="Times New Roman"/>
                <w:lang w:val="uk-UA"/>
              </w:rPr>
              <w:t>. Розмір пені за порушення строку оплати або штраф</w:t>
            </w:r>
          </w:p>
        </w:tc>
        <w:tc>
          <w:tcPr>
            <w:tcW w:w="7115" w:type="dxa"/>
            <w:vAlign w:val="center"/>
          </w:tcPr>
          <w:p w:rsidR="00796DFC" w:rsidRPr="007B55AF" w:rsidRDefault="00796DFC" w:rsidP="00796DFC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У разі несвоєчасних розрахунків за отриману електричну енергію,</w:t>
            </w:r>
          </w:p>
          <w:p w:rsidR="00B12D7F" w:rsidRPr="007B55AF" w:rsidRDefault="00796DFC" w:rsidP="00796DFC">
            <w:pPr>
              <w:ind w:left="-43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Споживач зобов’язаний сплатити пеню у розмірі 0,1% від суми простроченого платежу, але не більше подвійної облікової ставки НБУ, яка діє на день прострочення, за кожен день прострочення такого платежу</w:t>
            </w:r>
          </w:p>
          <w:p w:rsidR="00796DFC" w:rsidRPr="007B55AF" w:rsidRDefault="00796DFC" w:rsidP="00796DFC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В разі несвоєчасної оплати Споживачем послуг з розподілу електричної енергії, на підставі виставленого Постачальником окремого рахунку, Споживач сплачує Постачальнику пеню у розмірі 0,1% від суми простроченого платежу, але не більше подвійної облікової ставки НБУ, яка діє на день прострочення, за кожен день прострочення такого платежу.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994AC6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796DFC" w:rsidRPr="007B55AF">
              <w:rPr>
                <w:rFonts w:ascii="Times New Roman" w:hAnsi="Times New Roman" w:cs="Times New Roman"/>
                <w:lang w:val="uk-UA"/>
              </w:rPr>
              <w:t>. 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115" w:type="dxa"/>
            <w:vAlign w:val="center"/>
          </w:tcPr>
          <w:p w:rsidR="00796DFC" w:rsidRPr="007B55AF" w:rsidRDefault="00796DFC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№375.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994AC6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796DFC" w:rsidRPr="007B55AF">
              <w:rPr>
                <w:rFonts w:ascii="Times New Roman" w:hAnsi="Times New Roman" w:cs="Times New Roman"/>
                <w:lang w:val="uk-UA"/>
              </w:rPr>
              <w:t>. Розмір штрафу за дострокове розірвання Договору</w:t>
            </w:r>
          </w:p>
        </w:tc>
        <w:tc>
          <w:tcPr>
            <w:tcW w:w="7115" w:type="dxa"/>
            <w:vAlign w:val="center"/>
          </w:tcPr>
          <w:p w:rsidR="00B12D7F" w:rsidRPr="007B55AF" w:rsidRDefault="00796DFC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 xml:space="preserve">Відсутній 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994AC6" w:rsidP="00351A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796DFC" w:rsidRPr="007B55AF">
              <w:rPr>
                <w:rFonts w:ascii="Times New Roman" w:hAnsi="Times New Roman" w:cs="Times New Roman"/>
                <w:lang w:val="uk-UA"/>
              </w:rPr>
              <w:t>. Термін дії Договору та умови пролонгації</w:t>
            </w:r>
          </w:p>
        </w:tc>
        <w:tc>
          <w:tcPr>
            <w:tcW w:w="7115" w:type="dxa"/>
            <w:vAlign w:val="center"/>
          </w:tcPr>
          <w:p w:rsidR="00B12D7F" w:rsidRPr="007B55AF" w:rsidRDefault="00796DFC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Договір діє з дати його підписання Сторонами до 31 грудня 2019 р. включно.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796DFC" w:rsidP="00994A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1</w:t>
            </w:r>
            <w:r w:rsidR="00994AC6">
              <w:rPr>
                <w:rFonts w:ascii="Times New Roman" w:hAnsi="Times New Roman" w:cs="Times New Roman"/>
                <w:lang w:val="uk-UA"/>
              </w:rPr>
              <w:t>0</w:t>
            </w:r>
            <w:r w:rsidRPr="007B55AF">
              <w:rPr>
                <w:rFonts w:ascii="Times New Roman" w:hAnsi="Times New Roman" w:cs="Times New Roman"/>
                <w:lang w:val="uk-UA"/>
              </w:rPr>
              <w:t>. Урахування пільг, субсидій</w:t>
            </w:r>
          </w:p>
        </w:tc>
        <w:tc>
          <w:tcPr>
            <w:tcW w:w="7115" w:type="dxa"/>
            <w:vAlign w:val="center"/>
          </w:tcPr>
          <w:p w:rsidR="00B12D7F" w:rsidRPr="007B55AF" w:rsidRDefault="00796DFC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Відсутнє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796DFC" w:rsidP="00994A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1</w:t>
            </w:r>
            <w:r w:rsidR="00994AC6">
              <w:rPr>
                <w:rFonts w:ascii="Times New Roman" w:hAnsi="Times New Roman" w:cs="Times New Roman"/>
                <w:lang w:val="uk-UA"/>
              </w:rPr>
              <w:t>1</w:t>
            </w:r>
            <w:r w:rsidRPr="007B55AF">
              <w:rPr>
                <w:rFonts w:ascii="Times New Roman" w:hAnsi="Times New Roman" w:cs="Times New Roman"/>
                <w:lang w:val="uk-UA"/>
              </w:rPr>
              <w:t>. Можливість постачання захищеним споживачам</w:t>
            </w:r>
          </w:p>
        </w:tc>
        <w:tc>
          <w:tcPr>
            <w:tcW w:w="7115" w:type="dxa"/>
            <w:vAlign w:val="center"/>
          </w:tcPr>
          <w:p w:rsidR="002C0FF1" w:rsidRPr="007B55AF" w:rsidRDefault="00796DFC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796DFC" w:rsidP="00994A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1</w:t>
            </w:r>
            <w:r w:rsidR="00994AC6">
              <w:rPr>
                <w:rFonts w:ascii="Times New Roman" w:hAnsi="Times New Roman" w:cs="Times New Roman"/>
                <w:lang w:val="uk-UA"/>
              </w:rPr>
              <w:t>2</w:t>
            </w:r>
            <w:r w:rsidRPr="007B55AF">
              <w:rPr>
                <w:rFonts w:ascii="Times New Roman" w:hAnsi="Times New Roman" w:cs="Times New Roman"/>
                <w:lang w:val="uk-UA"/>
              </w:rPr>
              <w:t>. Заявлені обсяги споживання електричної енергії у розрахункових періодах на відповідних класах напруги, кВт*год</w:t>
            </w:r>
          </w:p>
        </w:tc>
        <w:tc>
          <w:tcPr>
            <w:tcW w:w="7115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13"/>
              <w:gridCol w:w="2288"/>
              <w:gridCol w:w="2288"/>
            </w:tblGrid>
            <w:tr w:rsidR="002C0FF1" w:rsidRPr="007B55AF" w:rsidTr="002C0FF1">
              <w:tc>
                <w:tcPr>
                  <w:tcW w:w="2381" w:type="dxa"/>
                  <w:tcBorders>
                    <w:left w:val="single" w:sz="4" w:space="0" w:color="auto"/>
                  </w:tcBorders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7B55AF">
                    <w:rPr>
                      <w:rFonts w:ascii="Times New Roman" w:hAnsi="Times New Roman" w:cs="Times New Roman"/>
                      <w:lang w:val="uk-UA"/>
                    </w:rPr>
                    <w:t>Період</w:t>
                  </w: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7B55AF">
                    <w:rPr>
                      <w:rFonts w:ascii="Times New Roman" w:hAnsi="Times New Roman" w:cs="Times New Roman"/>
                      <w:lang w:val="uk-UA"/>
                    </w:rPr>
                    <w:t>1 клас</w:t>
                  </w: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7B55AF">
                    <w:rPr>
                      <w:rFonts w:ascii="Times New Roman" w:hAnsi="Times New Roman" w:cs="Times New Roman"/>
                      <w:lang w:val="uk-UA"/>
                    </w:rPr>
                    <w:t>2 клас</w:t>
                  </w:r>
                </w:p>
              </w:tc>
            </w:tr>
            <w:tr w:rsidR="002C0FF1" w:rsidRPr="007B55AF" w:rsidTr="002C0FF1">
              <w:tc>
                <w:tcPr>
                  <w:tcW w:w="2381" w:type="dxa"/>
                  <w:tcBorders>
                    <w:left w:val="single" w:sz="4" w:space="0" w:color="auto"/>
                  </w:tcBorders>
                </w:tcPr>
                <w:p w:rsidR="002C0FF1" w:rsidRPr="007B55AF" w:rsidRDefault="00C71DEF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Жовтень</w:t>
                  </w: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2C0FF1" w:rsidRPr="007B55AF" w:rsidTr="002C0FF1">
              <w:tc>
                <w:tcPr>
                  <w:tcW w:w="2381" w:type="dxa"/>
                  <w:tcBorders>
                    <w:left w:val="single" w:sz="4" w:space="0" w:color="auto"/>
                  </w:tcBorders>
                </w:tcPr>
                <w:p w:rsidR="002C0FF1" w:rsidRPr="007B55AF" w:rsidRDefault="00C71DEF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Листопад</w:t>
                  </w: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2C0FF1" w:rsidRPr="007B55AF" w:rsidTr="002C0FF1">
              <w:tc>
                <w:tcPr>
                  <w:tcW w:w="2381" w:type="dxa"/>
                  <w:tcBorders>
                    <w:left w:val="single" w:sz="4" w:space="0" w:color="auto"/>
                  </w:tcBorders>
                </w:tcPr>
                <w:p w:rsidR="002C0FF1" w:rsidRPr="007B55AF" w:rsidRDefault="00C71DEF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Грудень</w:t>
                  </w: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2C0FF1" w:rsidRPr="007B55AF" w:rsidTr="002C0FF1">
              <w:tc>
                <w:tcPr>
                  <w:tcW w:w="2381" w:type="dxa"/>
                  <w:tcBorders>
                    <w:left w:val="single" w:sz="4" w:space="0" w:color="auto"/>
                  </w:tcBorders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2C0FF1" w:rsidRPr="007B55AF" w:rsidTr="002C0FF1">
              <w:tc>
                <w:tcPr>
                  <w:tcW w:w="2381" w:type="dxa"/>
                  <w:tcBorders>
                    <w:left w:val="single" w:sz="4" w:space="0" w:color="auto"/>
                  </w:tcBorders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82" w:type="dxa"/>
                </w:tcPr>
                <w:p w:rsidR="002C0FF1" w:rsidRPr="007B55AF" w:rsidRDefault="002C0FF1" w:rsidP="00351AC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B12D7F" w:rsidRPr="007B55AF" w:rsidRDefault="00B12D7F" w:rsidP="00351AC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0FF1" w:rsidRPr="007B55AF" w:rsidTr="002C0FF1">
        <w:tc>
          <w:tcPr>
            <w:tcW w:w="2378" w:type="dxa"/>
            <w:vAlign w:val="center"/>
          </w:tcPr>
          <w:p w:rsidR="00B12D7F" w:rsidRPr="007B55AF" w:rsidRDefault="002C0FF1" w:rsidP="00994A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1</w:t>
            </w:r>
            <w:r w:rsidR="00994AC6">
              <w:rPr>
                <w:rFonts w:ascii="Times New Roman" w:hAnsi="Times New Roman" w:cs="Times New Roman"/>
                <w:lang w:val="uk-UA"/>
              </w:rPr>
              <w:t>3</w:t>
            </w:r>
            <w:r w:rsidRPr="007B55AF">
              <w:rPr>
                <w:rFonts w:ascii="Times New Roman" w:hAnsi="Times New Roman" w:cs="Times New Roman"/>
                <w:lang w:val="uk-UA"/>
              </w:rPr>
              <w:t>. Погодження та уточнення заявлених/прогнозних обсягів постачання електричної енергії</w:t>
            </w:r>
          </w:p>
        </w:tc>
        <w:tc>
          <w:tcPr>
            <w:tcW w:w="7115" w:type="dxa"/>
            <w:vAlign w:val="center"/>
          </w:tcPr>
          <w:p w:rsidR="002C0FF1" w:rsidRPr="007B55AF" w:rsidRDefault="002C0FF1" w:rsidP="002C0FF1">
            <w:pPr>
              <w:pStyle w:val="a4"/>
              <w:numPr>
                <w:ilvl w:val="0"/>
                <w:numId w:val="7"/>
              </w:numPr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Один раз до 14 (чотирнадцятого) числа розрахункового</w:t>
            </w:r>
          </w:p>
          <w:p w:rsidR="00B12D7F" w:rsidRPr="007B55AF" w:rsidRDefault="002C0FF1" w:rsidP="002C0FF1">
            <w:pPr>
              <w:ind w:left="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періоду, Споживач має можливість змінити Заявлений обсяг споживання електричної енергії на розрахунковий період, приведений в п. 15 даної Комерційної пропозиції, за умови що станом на час надходження повідомлення про коригування обсягу електричної енергії, у Споживача відсутня прострочена заборгованість за цим Договором.</w:t>
            </w:r>
          </w:p>
          <w:p w:rsidR="002C0FF1" w:rsidRPr="007B55AF" w:rsidRDefault="002C0FF1" w:rsidP="002C0FF1">
            <w:pPr>
              <w:pStyle w:val="a4"/>
              <w:numPr>
                <w:ilvl w:val="0"/>
                <w:numId w:val="7"/>
              </w:numPr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У випадку зміни заявленого обсягу у бік збільшення,</w:t>
            </w:r>
          </w:p>
          <w:p w:rsidR="002C0FF1" w:rsidRPr="007B55AF" w:rsidRDefault="002C0FF1" w:rsidP="002C0FF1">
            <w:pPr>
              <w:ind w:left="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Споживач до 14 (чотирнадцятого) числа розрахункового періоду здійснює оплату 100% додаткового обсягу електричної енергії.</w:t>
            </w:r>
          </w:p>
          <w:p w:rsidR="002C0FF1" w:rsidRPr="007B55AF" w:rsidRDefault="002C0FF1" w:rsidP="002C0FF1">
            <w:pPr>
              <w:pStyle w:val="a4"/>
              <w:numPr>
                <w:ilvl w:val="0"/>
                <w:numId w:val="7"/>
              </w:numPr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У випадку зміни заявленого обсягу електроенергії у бік</w:t>
            </w:r>
          </w:p>
          <w:p w:rsidR="002C0FF1" w:rsidRPr="007B55AF" w:rsidRDefault="002C0FF1" w:rsidP="002C0FF1">
            <w:pPr>
              <w:ind w:left="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зменшення, Постачальник, для збереження балансу оплат, згідно з умовами Договору, перевиставляє наступні неоплачені планові рахунки. Якщо сума оплачених коштів на дату коригування перевищує вартість скоригованого обсягу, то переплата, що виникла, зараховується як авансовий платіж на наступний розрахунковий період.</w:t>
            </w:r>
          </w:p>
          <w:p w:rsidR="00BC4898" w:rsidRDefault="002C0FF1" w:rsidP="002C0FF1">
            <w:pPr>
              <w:pStyle w:val="a4"/>
              <w:numPr>
                <w:ilvl w:val="0"/>
                <w:numId w:val="7"/>
              </w:numPr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 xml:space="preserve">Повідомлення зі скоригованим Заявленим обсягом, надсилається Споживачем на електронну пошту Постачальника </w:t>
            </w:r>
          </w:p>
          <w:p w:rsidR="002C0FF1" w:rsidRPr="007B55AF" w:rsidRDefault="002C0FF1" w:rsidP="00BC4898">
            <w:pPr>
              <w:pStyle w:val="a4"/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(</w:t>
            </w:r>
            <w:hyperlink r:id="rId6" w:history="1">
              <w:r w:rsidR="00BC4898" w:rsidRPr="00DF2E62">
                <w:rPr>
                  <w:rStyle w:val="a6"/>
                  <w:rFonts w:ascii="Times New Roman" w:hAnsi="Times New Roman" w:cs="Times New Roman"/>
                  <w:lang w:val="en-US"/>
                </w:rPr>
                <w:t>zbyt</w:t>
              </w:r>
              <w:r w:rsidR="00BC4898" w:rsidRPr="00DF2E62">
                <w:rPr>
                  <w:rStyle w:val="a6"/>
                  <w:rFonts w:ascii="Times New Roman" w:hAnsi="Times New Roman" w:cs="Times New Roman"/>
                </w:rPr>
                <w:t>@</w:t>
              </w:r>
              <w:r w:rsidR="00BC4898" w:rsidRPr="00DF2E62">
                <w:rPr>
                  <w:rStyle w:val="a6"/>
                  <w:rFonts w:ascii="Times New Roman" w:hAnsi="Times New Roman" w:cs="Times New Roman"/>
                  <w:lang w:val="en-US"/>
                </w:rPr>
                <w:t>inhul-ppk</w:t>
              </w:r>
              <w:r w:rsidR="00BC4898" w:rsidRPr="00DF2E62">
                <w:rPr>
                  <w:rStyle w:val="a6"/>
                  <w:rFonts w:ascii="Times New Roman" w:hAnsi="Times New Roman" w:cs="Times New Roman"/>
                </w:rPr>
                <w:t>.</w:t>
              </w:r>
              <w:r w:rsidR="00BC4898" w:rsidRPr="00DF2E62">
                <w:rPr>
                  <w:rStyle w:val="a6"/>
                  <w:rFonts w:ascii="Times New Roman" w:hAnsi="Times New Roman" w:cs="Times New Roman"/>
                  <w:lang w:val="en-US"/>
                </w:rPr>
                <w:t>energy</w:t>
              </w:r>
            </w:hyperlink>
            <w:r w:rsidRPr="007B55AF">
              <w:rPr>
                <w:rFonts w:ascii="Times New Roman" w:hAnsi="Times New Roman" w:cs="Times New Roman"/>
              </w:rPr>
              <w:t xml:space="preserve">) </w:t>
            </w:r>
            <w:r w:rsidRPr="007B55AF">
              <w:rPr>
                <w:rFonts w:ascii="Times New Roman" w:hAnsi="Times New Roman" w:cs="Times New Roman"/>
                <w:lang w:val="uk-UA"/>
              </w:rPr>
              <w:t>у довільній формі.</w:t>
            </w:r>
          </w:p>
          <w:p w:rsidR="002C0FF1" w:rsidRPr="00B65923" w:rsidRDefault="002C0FF1" w:rsidP="00B65923">
            <w:pPr>
              <w:pStyle w:val="a4"/>
              <w:numPr>
                <w:ilvl w:val="0"/>
                <w:numId w:val="7"/>
              </w:numPr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По точкам обліку, які віднесені до групи «А</w:t>
            </w:r>
            <w:r w:rsidR="00B65923">
              <w:rPr>
                <w:rFonts w:ascii="Times New Roman" w:hAnsi="Times New Roman" w:cs="Times New Roman"/>
                <w:lang w:val="uk-UA"/>
              </w:rPr>
              <w:t xml:space="preserve">» (обладнані </w:t>
            </w:r>
            <w:r w:rsidRPr="00B65923">
              <w:rPr>
                <w:rFonts w:ascii="Times New Roman" w:hAnsi="Times New Roman" w:cs="Times New Roman"/>
                <w:lang w:val="uk-UA"/>
              </w:rPr>
              <w:t xml:space="preserve">АСКОЕ/ЛУЗОД), Споживач до 16-00 23 (двадцять третього) числа місяця, що передує розрахунковому, на електронну пошту Постачальника надає Прогнозні добові обсяги споживання </w:t>
            </w:r>
            <w:r w:rsidRPr="00B65923">
              <w:rPr>
                <w:rFonts w:ascii="Times New Roman" w:hAnsi="Times New Roman" w:cs="Times New Roman"/>
                <w:lang w:val="uk-UA"/>
              </w:rPr>
              <w:lastRenderedPageBreak/>
              <w:t>електричної енергії, за зразком в Додатку 2 а до Договору в форматі .</w:t>
            </w:r>
            <w:r w:rsidRPr="00B65923">
              <w:rPr>
                <w:rFonts w:ascii="Times New Roman" w:hAnsi="Times New Roman" w:cs="Times New Roman"/>
                <w:lang w:val="en-US"/>
              </w:rPr>
              <w:t>xls</w:t>
            </w:r>
          </w:p>
          <w:p w:rsidR="00B65923" w:rsidRDefault="002C0FF1" w:rsidP="002C0FF1">
            <w:pPr>
              <w:pStyle w:val="a4"/>
              <w:numPr>
                <w:ilvl w:val="0"/>
                <w:numId w:val="7"/>
              </w:numPr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 xml:space="preserve">У разі ненадання Споживачем Прогнозних добових обсягів </w:t>
            </w:r>
          </w:p>
          <w:p w:rsidR="002C0FF1" w:rsidRPr="00B65923" w:rsidRDefault="002C0FF1" w:rsidP="00B65923">
            <w:pPr>
              <w:ind w:left="6"/>
              <w:rPr>
                <w:rFonts w:ascii="Times New Roman" w:hAnsi="Times New Roman" w:cs="Times New Roman"/>
                <w:lang w:val="uk-UA"/>
              </w:rPr>
            </w:pPr>
            <w:r w:rsidRPr="00B65923">
              <w:rPr>
                <w:rFonts w:ascii="Times New Roman" w:hAnsi="Times New Roman" w:cs="Times New Roman"/>
                <w:lang w:val="uk-UA"/>
              </w:rPr>
              <w:t>споживання електричної енергії, Постачальник самостійно розраховує Прогнозні добові обсяги на основі Заявлених, приведених в п. 15 Комерційної пропозиції, та до 25 (двадцять п’ятого) числа місяця, що передує розрахунковому направляє їх на електронну пошту Споживача.</w:t>
            </w:r>
          </w:p>
          <w:p w:rsidR="00B65923" w:rsidRDefault="002C0FF1" w:rsidP="002C0FF1">
            <w:pPr>
              <w:pStyle w:val="a4"/>
              <w:numPr>
                <w:ilvl w:val="0"/>
                <w:numId w:val="7"/>
              </w:numPr>
              <w:ind w:left="366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За два дні до дня постачання, Спо</w:t>
            </w:r>
            <w:r w:rsidR="00B65923">
              <w:rPr>
                <w:rFonts w:ascii="Times New Roman" w:hAnsi="Times New Roman" w:cs="Times New Roman"/>
                <w:lang w:val="uk-UA"/>
              </w:rPr>
              <w:t>живач має можливість уточнювати</w:t>
            </w:r>
          </w:p>
          <w:p w:rsidR="002C0FF1" w:rsidRPr="00B65923" w:rsidRDefault="002C0FF1" w:rsidP="00B65923">
            <w:pPr>
              <w:ind w:left="6"/>
              <w:rPr>
                <w:rFonts w:ascii="Times New Roman" w:hAnsi="Times New Roman" w:cs="Times New Roman"/>
                <w:lang w:val="uk-UA"/>
              </w:rPr>
            </w:pPr>
            <w:r w:rsidRPr="00B65923">
              <w:rPr>
                <w:rFonts w:ascii="Times New Roman" w:hAnsi="Times New Roman" w:cs="Times New Roman"/>
                <w:lang w:val="uk-UA"/>
              </w:rPr>
              <w:t>Прогнозні добові обсяги споживання електричної енергії</w:t>
            </w:r>
            <w:r w:rsidR="002A2BF0" w:rsidRPr="00B65923">
              <w:rPr>
                <w:rFonts w:ascii="Times New Roman" w:hAnsi="Times New Roman" w:cs="Times New Roman"/>
                <w:lang w:val="uk-UA"/>
              </w:rPr>
              <w:t xml:space="preserve"> за цінами, що складуться на Ринку «на добу наперед»</w:t>
            </w:r>
          </w:p>
        </w:tc>
      </w:tr>
      <w:tr w:rsidR="002A2BF0" w:rsidRPr="007B55AF" w:rsidTr="002C0FF1">
        <w:tc>
          <w:tcPr>
            <w:tcW w:w="2378" w:type="dxa"/>
            <w:vAlign w:val="center"/>
          </w:tcPr>
          <w:p w:rsidR="002A2BF0" w:rsidRPr="007B55AF" w:rsidRDefault="002A2BF0" w:rsidP="00994A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994AC6">
              <w:rPr>
                <w:rFonts w:ascii="Times New Roman" w:hAnsi="Times New Roman" w:cs="Times New Roman"/>
                <w:lang w:val="uk-UA"/>
              </w:rPr>
              <w:t>4</w:t>
            </w:r>
            <w:r w:rsidRPr="007B55AF">
              <w:rPr>
                <w:rFonts w:ascii="Times New Roman" w:hAnsi="Times New Roman" w:cs="Times New Roman"/>
                <w:lang w:val="uk-UA"/>
              </w:rPr>
              <w:t>. Порядок звіряння</w:t>
            </w:r>
          </w:p>
        </w:tc>
        <w:tc>
          <w:tcPr>
            <w:tcW w:w="7115" w:type="dxa"/>
            <w:vAlign w:val="center"/>
          </w:tcPr>
          <w:p w:rsidR="002A2BF0" w:rsidRPr="007B55AF" w:rsidRDefault="002A2BF0" w:rsidP="00351AC0">
            <w:pPr>
              <w:rPr>
                <w:rFonts w:ascii="Times New Roman" w:hAnsi="Times New Roman" w:cs="Times New Roman"/>
                <w:lang w:val="uk-UA"/>
              </w:rPr>
            </w:pPr>
            <w:r w:rsidRPr="007B55AF">
              <w:rPr>
                <w:rFonts w:ascii="Times New Roman" w:hAnsi="Times New Roman" w:cs="Times New Roman"/>
                <w:lang w:val="uk-UA"/>
              </w:rPr>
              <w:t>Звіряння фактичного обсягу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5 (п’ятого) числа місяця, наступного за розрахунковим, в довільній формі.</w:t>
            </w:r>
          </w:p>
        </w:tc>
      </w:tr>
    </w:tbl>
    <w:p w:rsidR="007B55AF" w:rsidRDefault="007B55AF" w:rsidP="007B55AF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lang w:val="uk-UA"/>
        </w:rPr>
      </w:pPr>
      <w:r w:rsidRPr="007B55AF">
        <w:rPr>
          <w:rFonts w:ascii="Times New Roman" w:hAnsi="Times New Roman" w:cs="Times New Roman"/>
          <w:lang w:val="uk-UA"/>
        </w:rPr>
        <w:t>Складання формул з позначкою «*» діють у разі запуску повномасштабного Ринку електричної енергії, а саме набрання чинн</w:t>
      </w:r>
      <w:bookmarkStart w:id="0" w:name="_GoBack"/>
      <w:bookmarkEnd w:id="0"/>
      <w:r w:rsidRPr="007B55AF">
        <w:rPr>
          <w:rFonts w:ascii="Times New Roman" w:hAnsi="Times New Roman" w:cs="Times New Roman"/>
          <w:lang w:val="uk-UA"/>
        </w:rPr>
        <w:t>ості Статей 54-55, 66-71, 73 Закону України «Про ринок електричної енергії».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55AF" w:rsidTr="007B55AF">
        <w:tc>
          <w:tcPr>
            <w:tcW w:w="4672" w:type="dxa"/>
          </w:tcPr>
          <w:p w:rsidR="007B55AF" w:rsidRDefault="007B55AF" w:rsidP="007B55A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Постачальник:</w:t>
            </w:r>
          </w:p>
          <w:p w:rsidR="007B55AF" w:rsidRPr="002459F9" w:rsidRDefault="002459F9" w:rsidP="007B55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«Інгулецький ППК»</w:t>
            </w:r>
          </w:p>
          <w:p w:rsidR="007B55AF" w:rsidRPr="007B55AF" w:rsidRDefault="007B55AF" w:rsidP="007B55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4673" w:type="dxa"/>
          </w:tcPr>
          <w:p w:rsidR="007B55AF" w:rsidRDefault="007B55AF" w:rsidP="007B55A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Споживач:</w:t>
            </w:r>
          </w:p>
          <w:p w:rsidR="007B55AF" w:rsidRDefault="007B55AF" w:rsidP="007B55AF">
            <w:pPr>
              <w:rPr>
                <w:rFonts w:ascii="Times New Roman" w:hAnsi="Times New Roman" w:cs="Times New Roman"/>
                <w:lang w:val="uk-UA"/>
              </w:rPr>
            </w:pPr>
          </w:p>
          <w:p w:rsidR="007B55AF" w:rsidRDefault="007B55AF" w:rsidP="007B55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</w:tr>
    </w:tbl>
    <w:p w:rsidR="007B55AF" w:rsidRDefault="007B55AF" w:rsidP="007B55AF">
      <w:pPr>
        <w:rPr>
          <w:rFonts w:ascii="Times New Roman" w:hAnsi="Times New Roman" w:cs="Times New Roman"/>
          <w:lang w:val="uk-UA"/>
        </w:rPr>
      </w:pPr>
    </w:p>
    <w:p w:rsidR="002459F9" w:rsidRDefault="002459F9" w:rsidP="002E207D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</w:t>
      </w:r>
      <w:r w:rsidR="002E207D">
        <w:rPr>
          <w:rFonts w:ascii="Times New Roman" w:hAnsi="Times New Roman" w:cs="Times New Roman"/>
          <w:lang w:val="uk-UA"/>
        </w:rPr>
        <w:tab/>
        <w:t xml:space="preserve"> Д.С. Іванов </w:t>
      </w:r>
      <w:r w:rsidR="002E207D">
        <w:rPr>
          <w:rFonts w:ascii="Times New Roman" w:hAnsi="Times New Roman" w:cs="Times New Roman"/>
          <w:lang w:val="uk-UA"/>
        </w:rPr>
        <w:tab/>
      </w:r>
      <w:r w:rsidR="002E207D">
        <w:rPr>
          <w:rFonts w:ascii="Times New Roman" w:hAnsi="Times New Roman" w:cs="Times New Roman"/>
          <w:lang w:val="uk-UA"/>
        </w:rPr>
        <w:tab/>
        <w:t xml:space="preserve">         </w:t>
      </w:r>
      <w:r>
        <w:rPr>
          <w:rFonts w:ascii="Times New Roman" w:hAnsi="Times New Roman" w:cs="Times New Roman"/>
          <w:lang w:val="uk-UA"/>
        </w:rPr>
        <w:t xml:space="preserve">  ______________ </w:t>
      </w:r>
    </w:p>
    <w:p w:rsidR="002E207D" w:rsidRPr="002E207D" w:rsidRDefault="002E207D" w:rsidP="002E207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(підпис)               (П.І.Б., уповноваженої особи)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(підпис)               (П.І.Б., уповноваженої особи)</w:t>
      </w:r>
    </w:p>
    <w:p w:rsidR="002E207D" w:rsidRPr="002E207D" w:rsidRDefault="002E207D" w:rsidP="002E207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E207D" w:rsidRDefault="002E207D" w:rsidP="002459F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М.П.</w:t>
      </w:r>
    </w:p>
    <w:p w:rsidR="002E207D" w:rsidRDefault="002E207D" w:rsidP="002459F9">
      <w:pPr>
        <w:rPr>
          <w:rFonts w:ascii="Times New Roman" w:hAnsi="Times New Roman" w:cs="Times New Roman"/>
          <w:lang w:val="uk-UA"/>
        </w:rPr>
      </w:pPr>
    </w:p>
    <w:p w:rsidR="002E207D" w:rsidRPr="007B55AF" w:rsidRDefault="002E207D" w:rsidP="002E207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«___» ______________ 20___ року                           </w:t>
      </w:r>
      <w:r>
        <w:rPr>
          <w:rFonts w:ascii="Times New Roman" w:hAnsi="Times New Roman" w:cs="Times New Roman"/>
          <w:lang w:val="uk-UA"/>
        </w:rPr>
        <w:t>«___» ______________ 20___ року</w:t>
      </w:r>
    </w:p>
    <w:p w:rsidR="002E207D" w:rsidRPr="002E207D" w:rsidRDefault="002E207D" w:rsidP="002459F9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2E207D">
        <w:rPr>
          <w:rFonts w:ascii="Times New Roman" w:hAnsi="Times New Roman" w:cs="Times New Roman"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</w:t>
      </w:r>
      <w:r w:rsidRPr="002E207D">
        <w:rPr>
          <w:rFonts w:ascii="Times New Roman" w:hAnsi="Times New Roman" w:cs="Times New Roman"/>
          <w:sz w:val="16"/>
          <w:szCs w:val="16"/>
          <w:lang w:val="uk-UA"/>
        </w:rPr>
        <w:t>(дата)</w:t>
      </w:r>
    </w:p>
    <w:p w:rsidR="002459F9" w:rsidRPr="007B55AF" w:rsidRDefault="002459F9" w:rsidP="007B55AF">
      <w:pPr>
        <w:rPr>
          <w:rFonts w:ascii="Times New Roman" w:hAnsi="Times New Roman" w:cs="Times New Roman"/>
          <w:lang w:val="uk-UA"/>
        </w:rPr>
      </w:pPr>
    </w:p>
    <w:sectPr w:rsidR="002459F9" w:rsidRPr="007B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B18"/>
    <w:multiLevelType w:val="hybridMultilevel"/>
    <w:tmpl w:val="EF4A8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546E"/>
    <w:multiLevelType w:val="hybridMultilevel"/>
    <w:tmpl w:val="6C0A1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2C20"/>
    <w:multiLevelType w:val="hybridMultilevel"/>
    <w:tmpl w:val="2B78E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2EA8"/>
    <w:multiLevelType w:val="hybridMultilevel"/>
    <w:tmpl w:val="23B2D5B0"/>
    <w:lvl w:ilvl="0" w:tplc="87DC62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6632"/>
    <w:multiLevelType w:val="hybridMultilevel"/>
    <w:tmpl w:val="9CF60A2E"/>
    <w:lvl w:ilvl="0" w:tplc="A56EF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42A46"/>
    <w:multiLevelType w:val="hybridMultilevel"/>
    <w:tmpl w:val="C3B0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C7B40"/>
    <w:multiLevelType w:val="hybridMultilevel"/>
    <w:tmpl w:val="6338C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3FE0"/>
    <w:multiLevelType w:val="hybridMultilevel"/>
    <w:tmpl w:val="DC28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I65t/DNEo1wKLIJCj12y2VXejVpnqDBE7K0E7kCxxWYRQVrofKMQyADCroy6qqL6kVLzefdiafZjnjBiRKb7w==" w:salt="pDCYn9cbZ0M0mNCJV14hE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7F"/>
    <w:rsid w:val="00162616"/>
    <w:rsid w:val="001E3A33"/>
    <w:rsid w:val="001E632E"/>
    <w:rsid w:val="002459F9"/>
    <w:rsid w:val="002559AF"/>
    <w:rsid w:val="00274132"/>
    <w:rsid w:val="002A2BF0"/>
    <w:rsid w:val="002C0FF1"/>
    <w:rsid w:val="002E207D"/>
    <w:rsid w:val="00351AC0"/>
    <w:rsid w:val="00484226"/>
    <w:rsid w:val="00485850"/>
    <w:rsid w:val="005036E7"/>
    <w:rsid w:val="00594CA4"/>
    <w:rsid w:val="005B50F1"/>
    <w:rsid w:val="006D2DD7"/>
    <w:rsid w:val="0073103D"/>
    <w:rsid w:val="007561E3"/>
    <w:rsid w:val="00796DFC"/>
    <w:rsid w:val="007B55AF"/>
    <w:rsid w:val="008200FE"/>
    <w:rsid w:val="008B24FA"/>
    <w:rsid w:val="008B6C82"/>
    <w:rsid w:val="00934757"/>
    <w:rsid w:val="00957A59"/>
    <w:rsid w:val="00994AC6"/>
    <w:rsid w:val="00B12D7F"/>
    <w:rsid w:val="00B25495"/>
    <w:rsid w:val="00B65923"/>
    <w:rsid w:val="00BC4898"/>
    <w:rsid w:val="00C71DEF"/>
    <w:rsid w:val="00CC105A"/>
    <w:rsid w:val="00CE2746"/>
    <w:rsid w:val="00CF21E6"/>
    <w:rsid w:val="00E16C57"/>
    <w:rsid w:val="00F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5197"/>
  <w15:chartTrackingRefBased/>
  <w15:docId w15:val="{B017736B-1D57-410E-BAE0-3D34C5C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D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C105A"/>
    <w:rPr>
      <w:color w:val="808080"/>
    </w:rPr>
  </w:style>
  <w:style w:type="character" w:styleId="a6">
    <w:name w:val="Hyperlink"/>
    <w:basedOn w:val="a0"/>
    <w:uiPriority w:val="99"/>
    <w:unhideWhenUsed/>
    <w:rsid w:val="002C0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byt@inhul-ppk.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9987-87C7-451C-AB84-D91EBF1F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8218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Дима</cp:lastModifiedBy>
  <cp:revision>4</cp:revision>
  <dcterms:created xsi:type="dcterms:W3CDTF">2019-10-18T08:01:00Z</dcterms:created>
  <dcterms:modified xsi:type="dcterms:W3CDTF">2019-10-18T08:05:00Z</dcterms:modified>
</cp:coreProperties>
</file>